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82"/>
        <w:gridCol w:w="216"/>
        <w:gridCol w:w="216"/>
        <w:gridCol w:w="391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72FB66" w:rsidR="00093CA9" w:rsidRDefault="000F5AE7"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D8D954B" w:rsidR="00093CA9" w:rsidRDefault="00D32225" w:rsidP="00093CA9">
            <w:r w:rsidRPr="00D32225">
              <w:t>Exempt Resolution No. 585/2023 of the Superintendency of the Environment (</w:t>
            </w:r>
            <w:proofErr w:type="spellStart"/>
            <w:r w:rsidRPr="00D32225">
              <w:t>Resolución</w:t>
            </w:r>
            <w:proofErr w:type="spellEnd"/>
            <w:r w:rsidRPr="00D32225">
              <w:t xml:space="preserve"> </w:t>
            </w:r>
            <w:proofErr w:type="spellStart"/>
            <w:r w:rsidRPr="00D32225">
              <w:t>Exenta</w:t>
            </w:r>
            <w:proofErr w:type="spellEnd"/>
            <w:r w:rsidRPr="00D32225">
              <w:t xml:space="preserve"> N° 585/2023 de la </w:t>
            </w:r>
            <w:proofErr w:type="spellStart"/>
            <w:r w:rsidRPr="00D32225">
              <w:t>Superintendencia</w:t>
            </w:r>
            <w:proofErr w:type="spellEnd"/>
            <w:r w:rsidRPr="00D32225">
              <w:t xml:space="preserve"> del Medio </w:t>
            </w:r>
            <w:proofErr w:type="spellStart"/>
            <w:r w:rsidRPr="00D32225">
              <w:t>Ambiente</w:t>
            </w:r>
            <w:proofErr w:type="spellEnd"/>
            <w:r w:rsidRPr="00D3222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5D88D1F" w:rsidR="00093CA9" w:rsidRDefault="00BB4980" w:rsidP="00093CA9">
            <w:hyperlink r:id="rId17" w:history="1">
              <w:r w:rsidRPr="00345936">
                <w:rPr>
                  <w:rStyle w:val="Hipervnculo"/>
                </w:rPr>
                <w:t>https://web.archive.org/web/20250701194009/https://www.bcn.cl/leychile/navegar?idNorma=1191201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D7C128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061E7C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704AB55" w:rsidR="00093CA9" w:rsidRDefault="00D3222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8DF38DC" w14:textId="77777777" w:rsidR="009C2237" w:rsidRDefault="00FE4E30" w:rsidP="00093CA9">
            <w:r w:rsidRPr="00FE4E30">
              <w:t xml:space="preserve">This policy tool sets out general instructions for the monitoring, reporting and verification of emissions </w:t>
            </w:r>
            <w:r>
              <w:t>subject to</w:t>
            </w:r>
            <w:r w:rsidRPr="00FE4E30">
              <w:t xml:space="preserve"> the</w:t>
            </w:r>
            <w:r>
              <w:t xml:space="preserve"> </w:t>
            </w:r>
            <w:r w:rsidR="009C2237" w:rsidRPr="009C2237">
              <w:t>annual tax on emissions into the air of particulate matter (PM), nitrogen oxides (NOx), sulphur dioxide (SO2) and carbon dioxide (CO2), produced by establishments whose emitting sources, individually or as a whole, emit 100 or more tonnes per year of particulate matter (PM), or 25,000 or more tonnes per year of carbon dioxide (CO2).</w:t>
            </w:r>
          </w:p>
          <w:p w14:paraId="18257824" w14:textId="7D3914D7" w:rsidR="00BF795E" w:rsidRDefault="00BF795E" w:rsidP="00093CA9">
            <w:r w:rsidRPr="004D4336">
              <w:t>This policy tool should be analysed in conjunction with Law No. 20,780 – Establishes Green Tax on Stationary Emissions (Article 8) read with Supreme Decree No. 4, of 2023, of the Ministry of the Environment</w:t>
            </w:r>
            <w:r>
              <w:t xml:space="preserve">, and with </w:t>
            </w:r>
            <w:r w:rsidR="00030837" w:rsidRPr="007D7345">
              <w:t>Decree No. 63 of the Ministry of the Environment</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AABC7E7" w:rsidR="00093CA9" w:rsidRDefault="00E7163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4BB0FE9" w:rsidR="00093CA9" w:rsidRPr="00173D7C" w:rsidRDefault="00DF65E8"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6D6A53B" w:rsidR="00093CA9" w:rsidRPr="00173D7C" w:rsidRDefault="00DF65E8"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5BA21E7" w:rsidR="00093CA9" w:rsidRDefault="0027225D" w:rsidP="00093CA9">
            <w:r>
              <w:t xml:space="preserve">Ministry </w:t>
            </w:r>
            <w:r w:rsidR="00885093">
              <w:t>of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BFD280F" w:rsidR="00093CA9" w:rsidRPr="006B7B0D" w:rsidRDefault="00885093" w:rsidP="00093CA9">
            <w:r>
              <w:t>Superintendence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9F693DF" w:rsidR="00093CA9" w:rsidRPr="006B7B0D" w:rsidRDefault="0088509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393DCB5" w:rsidR="00093CA9" w:rsidRDefault="0088509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323849D" w:rsidR="00093CA9" w:rsidRPr="008017F9" w:rsidRDefault="00081CC6" w:rsidP="00093CA9">
            <w:pPr>
              <w:keepNext/>
              <w:rPr>
                <w:color w:val="000000" w:themeColor="text1"/>
              </w:rPr>
            </w:pPr>
            <w:r w:rsidRPr="00081CC6">
              <w:rPr>
                <w:color w:val="000000" w:themeColor="text1"/>
              </w:rPr>
              <w:t>The policy tool establishes three monitoring mechanisms: Monitoring by Continuous Emission Monitoring System; Monitoring by Reference Method, sampling and/or measurement by an ETFA, including activity level; and Monitoring by Emission Estimation with activity level.</w:t>
            </w:r>
            <w:r w:rsidR="002361FD">
              <w:rPr>
                <w:color w:val="000000" w:themeColor="text1"/>
              </w:rPr>
              <w:t xml:space="preserve"> Article 1, number 3 of the </w:t>
            </w:r>
            <w:r w:rsidR="002361FD" w:rsidRPr="00D32225">
              <w:t>Exempt Resolution No. 585/2023 of the Superintendency of the Environment</w:t>
            </w:r>
            <w:r w:rsidR="002361FD">
              <w:t xml:space="preserve">.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F795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BB4980" w:rsidRDefault="00107CE2" w:rsidP="00DD3144">
            <w:pPr>
              <w:rPr>
                <w:lang w:val="fr-FR"/>
              </w:rPr>
            </w:pPr>
            <w:r w:rsidRPr="00BB4980">
              <w:rPr>
                <w:lang w:val="fr-FR"/>
              </w:rPr>
              <w:t>Minimum revenue (Enter minimum revenue)</w:t>
            </w:r>
          </w:p>
        </w:tc>
        <w:tc>
          <w:tcPr>
            <w:tcW w:w="4910" w:type="dxa"/>
            <w:gridSpan w:val="7"/>
            <w:shd w:val="clear" w:color="auto" w:fill="auto"/>
            <w:vAlign w:val="center"/>
          </w:tcPr>
          <w:p w14:paraId="2518BD70" w14:textId="77777777" w:rsidR="00524D54" w:rsidRPr="00BB4980" w:rsidRDefault="00524D54" w:rsidP="00DD3144">
            <w:pPr>
              <w:rPr>
                <w:lang w:val="fr-FR"/>
              </w:rPr>
            </w:pPr>
          </w:p>
        </w:tc>
      </w:tr>
      <w:tr w:rsidR="00524D54" w:rsidRPr="00BF795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BF795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BB4980" w:rsidRDefault="00B0479E" w:rsidP="00DD3144">
            <w:pPr>
              <w:rPr>
                <w:lang w:val="fr-FR"/>
              </w:rPr>
            </w:pPr>
            <w:r w:rsidRPr="00BB4980">
              <w:rPr>
                <w:rFonts w:ascii="Calibri" w:hAnsi="Calibri" w:cs="Calibri"/>
                <w:lang w:val="fr-FR"/>
              </w:rPr>
              <w:t xml:space="preserve">Carbon </w:t>
            </w:r>
            <w:proofErr w:type="spellStart"/>
            <w:r w:rsidRPr="00BB4980">
              <w:rPr>
                <w:rFonts w:ascii="Calibri" w:hAnsi="Calibri" w:cs="Calibri"/>
                <w:lang w:val="fr-FR"/>
              </w:rPr>
              <w:t>dioxide</w:t>
            </w:r>
            <w:proofErr w:type="spellEnd"/>
            <w:r w:rsidRPr="00BB4980">
              <w:rPr>
                <w:rFonts w:ascii="Calibri" w:hAnsi="Calibri" w:cs="Calibri"/>
                <w:lang w:val="fr-FR"/>
              </w:rPr>
              <w:t xml:space="preserve"> </w:t>
            </w:r>
            <w:proofErr w:type="spellStart"/>
            <w:r w:rsidRPr="00BB4980">
              <w:rPr>
                <w:rFonts w:ascii="Calibri" w:hAnsi="Calibri" w:cs="Calibri"/>
                <w:lang w:val="fr-FR"/>
              </w:rPr>
              <w:t>equivalent</w:t>
            </w:r>
            <w:proofErr w:type="spellEnd"/>
            <w:r w:rsidRPr="00BB4980">
              <w:rPr>
                <w:rFonts w:ascii="Calibri" w:hAnsi="Calibri" w:cs="Calibri"/>
                <w:lang w:val="fr-FR"/>
              </w:rPr>
              <w:t xml:space="preserve"> (</w:t>
            </w:r>
            <w:proofErr w:type="spellStart"/>
            <w:r w:rsidRPr="00BB4980">
              <w:rPr>
                <w:rFonts w:ascii="Calibri" w:hAnsi="Calibri" w:cs="Calibri"/>
                <w:lang w:val="fr-FR"/>
              </w:rPr>
              <w:t>CO₂e</w:t>
            </w:r>
            <w:proofErr w:type="spellEnd"/>
            <w:r w:rsidRPr="00BB4980">
              <w:rPr>
                <w:rFonts w:ascii="Calibri" w:hAnsi="Calibri" w:cs="Calibri"/>
                <w:lang w:val="fr-FR"/>
              </w:rPr>
              <w:t xml:space="preserve">) </w:t>
            </w:r>
          </w:p>
        </w:tc>
        <w:tc>
          <w:tcPr>
            <w:tcW w:w="3330" w:type="dxa"/>
            <w:gridSpan w:val="2"/>
            <w:shd w:val="clear" w:color="auto" w:fill="auto"/>
            <w:vAlign w:val="center"/>
          </w:tcPr>
          <w:p w14:paraId="7C41530E" w14:textId="769FE26A" w:rsidR="00B0479E" w:rsidRPr="00BB4980"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F795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B4980" w:rsidRDefault="004F276F" w:rsidP="00C37D48">
            <w:pPr>
              <w:rPr>
                <w:rFonts w:ascii="Calibri" w:hAnsi="Calibri" w:cs="Calibri"/>
                <w:lang w:val="fr-FR"/>
              </w:rPr>
            </w:pPr>
            <w:r w:rsidRPr="00BB498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BB4980" w:rsidRDefault="004F276F" w:rsidP="00C37D48">
            <w:pPr>
              <w:rPr>
                <w:rFonts w:ascii="Calibri" w:hAnsi="Calibri" w:cs="Calibri"/>
                <w:lang w:val="fr-FR"/>
              </w:rPr>
            </w:pPr>
          </w:p>
        </w:tc>
      </w:tr>
      <w:tr w:rsidR="004F276F" w:rsidRPr="00BF795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BF795E"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BB4980" w:rsidRDefault="003A2E5E" w:rsidP="00C37D48">
            <w:pPr>
              <w:rPr>
                <w:rFonts w:ascii="Calibri" w:hAnsi="Calibri" w:cs="Calibri"/>
                <w:lang w:val="fr-FR"/>
              </w:rPr>
            </w:pPr>
            <w:r w:rsidRPr="00BB4980">
              <w:rPr>
                <w:rFonts w:ascii="Calibri" w:hAnsi="Calibri" w:cs="Calibri"/>
                <w:lang w:val="fr-FR"/>
              </w:rPr>
              <w:t xml:space="preserve">Carbon </w:t>
            </w:r>
            <w:proofErr w:type="spellStart"/>
            <w:r w:rsidRPr="00BB4980">
              <w:rPr>
                <w:rFonts w:ascii="Calibri" w:hAnsi="Calibri" w:cs="Calibri"/>
                <w:lang w:val="fr-FR"/>
              </w:rPr>
              <w:t>dioxide</w:t>
            </w:r>
            <w:proofErr w:type="spellEnd"/>
            <w:r w:rsidRPr="00BB4980">
              <w:rPr>
                <w:rFonts w:ascii="Calibri" w:hAnsi="Calibri" w:cs="Calibri"/>
                <w:lang w:val="fr-FR"/>
              </w:rPr>
              <w:t xml:space="preserve"> </w:t>
            </w:r>
            <w:proofErr w:type="spellStart"/>
            <w:r w:rsidRPr="00BB4980">
              <w:rPr>
                <w:rFonts w:ascii="Calibri" w:hAnsi="Calibri" w:cs="Calibri"/>
                <w:lang w:val="fr-FR"/>
              </w:rPr>
              <w:t>equivalent</w:t>
            </w:r>
            <w:proofErr w:type="spellEnd"/>
            <w:r w:rsidRPr="00BB4980">
              <w:rPr>
                <w:rFonts w:ascii="Calibri" w:hAnsi="Calibri" w:cs="Calibri"/>
                <w:lang w:val="fr-FR"/>
              </w:rPr>
              <w:t xml:space="preserve"> (</w:t>
            </w:r>
            <w:proofErr w:type="spellStart"/>
            <w:r w:rsidRPr="00BB4980">
              <w:rPr>
                <w:rFonts w:ascii="Calibri" w:hAnsi="Calibri" w:cs="Calibri"/>
                <w:lang w:val="fr-FR"/>
              </w:rPr>
              <w:t>CO₂e</w:t>
            </w:r>
            <w:proofErr w:type="spellEnd"/>
            <w:r w:rsidRPr="00BB4980">
              <w:rPr>
                <w:rFonts w:ascii="Calibri" w:hAnsi="Calibri" w:cs="Calibri"/>
                <w:lang w:val="fr-FR"/>
              </w:rPr>
              <w:t>)  </w:t>
            </w:r>
          </w:p>
        </w:tc>
        <w:tc>
          <w:tcPr>
            <w:tcW w:w="5300" w:type="dxa"/>
            <w:gridSpan w:val="3"/>
            <w:shd w:val="clear" w:color="auto" w:fill="auto"/>
            <w:vAlign w:val="center"/>
          </w:tcPr>
          <w:p w14:paraId="4064936F" w14:textId="77777777" w:rsidR="003A2E5E" w:rsidRPr="00BB4980"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F795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BB4980" w:rsidRDefault="00C66EE0" w:rsidP="00610F28">
            <w:pPr>
              <w:rPr>
                <w:rFonts w:ascii="Calibri" w:hAnsi="Calibri" w:cs="Calibri"/>
                <w:lang w:val="fr-FR"/>
              </w:rPr>
            </w:pPr>
            <w:r w:rsidRPr="00BB4980">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BB4980" w:rsidRDefault="00C66EE0" w:rsidP="00610F28">
            <w:pPr>
              <w:rPr>
                <w:rFonts w:ascii="Calibri" w:hAnsi="Calibri" w:cs="Calibri"/>
                <w:lang w:val="fr-FR"/>
              </w:rPr>
            </w:pPr>
          </w:p>
        </w:tc>
      </w:tr>
      <w:tr w:rsidR="00241257" w:rsidRPr="00BF795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356C8845" w:rsidR="00D4323A" w:rsidRPr="00CF2E7C" w:rsidRDefault="003756AA"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1FB49E8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9B485E9" w:rsidR="00D4323A" w:rsidRPr="00CF2E7C" w:rsidRDefault="00EC6D13"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D820539" w:rsidR="00D4323A" w:rsidRPr="00CF2E7C" w:rsidRDefault="00EC6D13"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B3CE8D4" w:rsidR="00D4323A" w:rsidRPr="00CF2E7C" w:rsidRDefault="003756AA"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6F326440"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4A834F6" w:rsidR="00D4323A" w:rsidRPr="00CF2E7C" w:rsidRDefault="00EC6D13"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6ABCF756" w:rsidR="00D4323A" w:rsidRPr="00CF2E7C" w:rsidRDefault="003756AA"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E6994DA"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CEE5B75" w:rsidR="00D4323A" w:rsidRPr="00CF2E7C" w:rsidRDefault="00432DD7"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2F3760DC" w:rsidR="00D4323A" w:rsidRPr="00CF2E7C" w:rsidRDefault="00432DD7"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27EB8A4"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A8BAB17" w:rsidR="00D4323A" w:rsidRPr="00CF2E7C" w:rsidRDefault="00432DD7"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27E6D48"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5B2F8305" w:rsidR="00D4323A" w:rsidRPr="00CF2E7C" w:rsidRDefault="00432DD7"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73326D1"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48C245C9" w:rsidR="00D4323A" w:rsidRPr="00CF2E7C" w:rsidRDefault="00432DD7"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064FA98"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3681F0F" w:rsidR="00D4323A" w:rsidRPr="00CF2E7C" w:rsidRDefault="00EC6D13"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4255B71C"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2C4DBEE0"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6D5E8ECD"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66DBAA5" w:rsidR="00092534" w:rsidRPr="00CF2E7C" w:rsidRDefault="0070294B" w:rsidP="00CF2E7C">
            <w:pPr>
              <w:rPr>
                <w:rFonts w:ascii="Calibri" w:hAnsi="Calibri" w:cs="Calibri"/>
              </w:rPr>
            </w:pPr>
            <w:r w:rsidRPr="00E40EB9">
              <w:t>Irrespective of the sector, entities are obliged according to the amount of emissions (emitting sources that, individually or in aggregate, emit 50 or more tonnes of PM per year, or 12,500 or more tonnes of CO 2 per year).</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F795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BB4980" w:rsidRDefault="00092534" w:rsidP="00CF2E7C">
            <w:pPr>
              <w:rPr>
                <w:rFonts w:ascii="Calibri" w:hAnsi="Calibri" w:cs="Calibri"/>
                <w:lang w:val="fr-FR"/>
              </w:rPr>
            </w:pPr>
            <w:r w:rsidRPr="00BB4980">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BB4980" w:rsidRDefault="00092534" w:rsidP="00CF2E7C">
            <w:pPr>
              <w:rPr>
                <w:rFonts w:ascii="Calibri" w:hAnsi="Calibri" w:cs="Calibri"/>
                <w:lang w:val="fr-FR"/>
              </w:rPr>
            </w:pPr>
          </w:p>
        </w:tc>
      </w:tr>
      <w:tr w:rsidR="00092534" w:rsidRPr="00BF795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4A096188" w:rsidR="00092534" w:rsidRPr="00CF2E7C" w:rsidRDefault="006F76E9" w:rsidP="00CF2E7C">
            <w:pPr>
              <w:rPr>
                <w:rFonts w:ascii="Calibri" w:hAnsi="Calibri" w:cs="Calibri"/>
              </w:rPr>
            </w:pPr>
            <w:r>
              <w:t>A</w:t>
            </w:r>
            <w:r w:rsidRPr="00E40EB9">
              <w:t>ccording to the amount of emissions (emitting sources that, individually or in aggregate, emit 50 or more tonnes of PM per year, or 12,500 or more tonnes of CO 2 per year).</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405C6045" w:rsidR="00092534" w:rsidRPr="00CF2E7C" w:rsidRDefault="006F76E9"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13C2D1B" w:rsidR="00DB1E72" w:rsidRPr="00CF2E7C" w:rsidRDefault="0086078B"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C9B07A6" w:rsidR="00DB1E72" w:rsidRPr="00CF2E7C" w:rsidRDefault="0086078B"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160B496" w14:textId="090D4A8C" w:rsidR="0070594A" w:rsidRDefault="0070594A" w:rsidP="00CF2E7C">
            <w:pPr>
              <w:rPr>
                <w:rFonts w:ascii="Calibri" w:hAnsi="Calibri" w:cs="Calibri"/>
              </w:rPr>
            </w:pPr>
            <w:r w:rsidRPr="0070594A">
              <w:rPr>
                <w:rFonts w:ascii="Calibri" w:hAnsi="Calibri" w:cs="Calibri"/>
              </w:rPr>
              <w:t xml:space="preserve">Although this regulation does not directly establish sanctions, non-compliance with its </w:t>
            </w:r>
            <w:r w:rsidR="00C329C8" w:rsidRPr="0070594A">
              <w:rPr>
                <w:rFonts w:ascii="Calibri" w:hAnsi="Calibri" w:cs="Calibri"/>
              </w:rPr>
              <w:t>parameters</w:t>
            </w:r>
            <w:r w:rsidRPr="0070594A">
              <w:rPr>
                <w:rFonts w:ascii="Calibri" w:hAnsi="Calibri" w:cs="Calibri"/>
              </w:rPr>
              <w:t xml:space="preserve"> and measurement instructions may be sanctioned on the basis of the </w:t>
            </w:r>
            <w:r w:rsidR="00C329C8">
              <w:rPr>
                <w:rFonts w:ascii="Calibri" w:hAnsi="Calibri" w:cs="Calibri"/>
              </w:rPr>
              <w:t>attributions</w:t>
            </w:r>
            <w:r w:rsidRPr="0070594A">
              <w:rPr>
                <w:rFonts w:ascii="Calibri" w:hAnsi="Calibri" w:cs="Calibri"/>
              </w:rPr>
              <w:t xml:space="preserve"> of the Superintendence of the Environment.</w:t>
            </w:r>
            <w:r w:rsidR="00C329C8">
              <w:rPr>
                <w:rFonts w:ascii="Calibri" w:hAnsi="Calibri" w:cs="Calibri"/>
              </w:rPr>
              <w:t xml:space="preserve"> </w:t>
            </w:r>
          </w:p>
          <w:p w14:paraId="7CC5C002" w14:textId="417FDD7C" w:rsidR="00DB1E72" w:rsidRPr="00CF2E7C" w:rsidRDefault="00D01F55" w:rsidP="00CF2E7C">
            <w:pPr>
              <w:rPr>
                <w:rFonts w:ascii="Calibri" w:hAnsi="Calibri" w:cs="Calibri"/>
              </w:rPr>
            </w:pPr>
            <w:r>
              <w:rPr>
                <w:rFonts w:ascii="Calibri" w:hAnsi="Calibri" w:cs="Calibri"/>
              </w:rPr>
              <w:t>Monetary fine (1 to 10.000 annual tax units); restriction on business activities (closure or revocation of environmental permits). Article 38 of Law N°20.417 / Article 97 of Decree Law N°830, of the Ministry of Finance (Tax Code)</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5B78CF4" w:rsidR="00092534" w:rsidRPr="00CF2E7C" w:rsidRDefault="00C329C8"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DA7711E" w:rsidR="00092534" w:rsidRPr="00CF2E7C" w:rsidRDefault="00C329C8"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B08EE7E" w:rsidR="00D46B07" w:rsidRPr="00CF2E7C" w:rsidRDefault="00027A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C9F75BA" w:rsidR="00D46B07" w:rsidRPr="00CF2E7C" w:rsidRDefault="00E03A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8B4F2B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96C72">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0CF885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96C72">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4ADED6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96C72">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F79A863" w:rsidR="00D46B07" w:rsidRPr="00CF2E7C" w:rsidRDefault="00396C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BC0B46B"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45235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7B0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38AC47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F24DC3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031F5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986">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79762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986">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5A476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986">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16D7B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986">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02B65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7986">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58BF7D" w14:textId="77777777" w:rsidR="00B74903" w:rsidRDefault="00702413" w:rsidP="00B7490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74903" w:rsidRPr="00FF6C4C">
              <w:rPr>
                <w:rFonts w:ascii="Calibri" w:eastAsia="Times New Roman" w:hAnsi="Calibri" w:cs="Calibri"/>
                <w:kern w:val="0"/>
                <w:lang w:val="en-US" w:eastAsia="en-GB"/>
                <w14:ligatures w14:val="none"/>
              </w:rPr>
              <w:t>The policy tool requires the use of a national public registry to track the approval, certification, verification, and use of emission reductions (carbon credits) applied under the Green Tax framework</w:t>
            </w:r>
            <w:r w:rsidR="00B74903">
              <w:rPr>
                <w:rFonts w:ascii="Calibri" w:eastAsia="Times New Roman" w:hAnsi="Calibri" w:cs="Calibri"/>
                <w:kern w:val="0"/>
                <w:lang w:val="en-US" w:eastAsia="en-GB"/>
                <w14:ligatures w14:val="none"/>
              </w:rPr>
              <w:t xml:space="preserve">, the </w:t>
            </w:r>
            <w:r w:rsidR="00B74903" w:rsidRPr="00FF6C4C">
              <w:rPr>
                <w:rFonts w:ascii="Calibri" w:eastAsia="Times New Roman" w:hAnsi="Calibri" w:cs="Calibri"/>
                <w:kern w:val="0"/>
                <w:lang w:eastAsia="en-GB"/>
                <w14:ligatures w14:val="none"/>
              </w:rPr>
              <w:t>National Registry of Emission Reduction Projects</w:t>
            </w:r>
            <w:r w:rsidR="00B74903">
              <w:rPr>
                <w:rFonts w:ascii="Calibri" w:eastAsia="Times New Roman" w:hAnsi="Calibri" w:cs="Calibri"/>
                <w:kern w:val="0"/>
                <w:lang w:eastAsia="en-GB"/>
                <w14:ligatures w14:val="none"/>
              </w:rPr>
              <w:t>, regulated in Article 32 of Decree No. 4 of 2023.</w:t>
            </w:r>
          </w:p>
          <w:p w14:paraId="38C2165D" w14:textId="3D3E1133" w:rsidR="00702413" w:rsidRPr="00B74903" w:rsidRDefault="00B74903" w:rsidP="00CF2E7C">
            <w:pPr>
              <w:textAlignment w:val="baseline"/>
              <w:rPr>
                <w:rFonts w:ascii="Calibri" w:eastAsia="Times New Roman" w:hAnsi="Calibri" w:cs="Calibri"/>
                <w:kern w:val="0"/>
                <w:lang w:val="en-US" w:eastAsia="en-GB"/>
                <w14:ligatures w14:val="none"/>
              </w:rPr>
            </w:pPr>
            <w:hyperlink r:id="rId18" w:history="1">
              <w:r w:rsidRPr="00430556">
                <w:rPr>
                  <w:rStyle w:val="Hipervnculo"/>
                  <w:rFonts w:ascii="Calibri" w:eastAsia="Times New Roman" w:hAnsi="Calibri" w:cs="Calibri"/>
                  <w:kern w:val="0"/>
                  <w:lang w:val="en-US" w:eastAsia="en-GB"/>
                  <w14:ligatures w14:val="none"/>
                </w:rPr>
                <w:t>https://web.archive.org/save/https://sisat.sma.gob.cl/compensacion/publico/registro</w:t>
              </w:r>
            </w:hyperlink>
            <w:r>
              <w:rPr>
                <w:rFonts w:ascii="Calibri" w:eastAsia="Times New Roman" w:hAnsi="Calibri" w:cs="Calibri"/>
                <w:kern w:val="0"/>
                <w:lang w:val="en-US"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7976A9E"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6E2032C" w:rsidR="00343937" w:rsidRPr="00CF2E7C" w:rsidRDefault="00C341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A8C737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72AF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139AE7F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6F1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EB5E5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38C10E4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6F1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1B905C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27F63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757F">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C2806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8757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C3C22D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56F12">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F76BB" w14:textId="77777777" w:rsidR="0007178C" w:rsidRDefault="0007178C" w:rsidP="0007178C">
            <w:pPr>
              <w:textAlignment w:val="baseline"/>
              <w:rPr>
                <w:rFonts w:ascii="Calibri" w:eastAsia="Times New Roman" w:hAnsi="Calibri" w:cs="Calibri"/>
                <w:kern w:val="0"/>
                <w:lang w:eastAsia="en-GB"/>
                <w14:ligatures w14:val="none"/>
              </w:rPr>
            </w:pPr>
            <w:r w:rsidRPr="0007178C">
              <w:rPr>
                <w:rFonts w:ascii="Calibri" w:eastAsia="Times New Roman" w:hAnsi="Calibri" w:cs="Calibri"/>
                <w:kern w:val="0"/>
                <w:lang w:eastAsia="en-GB"/>
                <w14:ligatures w14:val="none"/>
              </w:rPr>
              <w:t>Stationary sources that have sampling and/or measurements for one or all of the parameters regulated by emission standards, PDA, PPDA and/or environmental qualification resolutions, must report in the Sampling and Measurement Module of the Atmospheric Monitoring System (SISAT).</w:t>
            </w:r>
          </w:p>
          <w:p w14:paraId="4878BF58" w14:textId="31372D26" w:rsidR="00343937" w:rsidRPr="00CF2E7C" w:rsidRDefault="0007178C" w:rsidP="0007178C">
            <w:pPr>
              <w:textAlignment w:val="baseline"/>
              <w:rPr>
                <w:rFonts w:ascii="Calibri" w:eastAsia="Times New Roman" w:hAnsi="Calibri" w:cs="Calibri"/>
                <w:kern w:val="0"/>
                <w:lang w:eastAsia="en-GB"/>
                <w14:ligatures w14:val="none"/>
              </w:rPr>
            </w:pPr>
            <w:r w:rsidRPr="0007178C">
              <w:rPr>
                <w:rFonts w:ascii="Calibri" w:eastAsia="Times New Roman" w:hAnsi="Calibri" w:cs="Calibri"/>
                <w:kern w:val="0"/>
                <w:lang w:eastAsia="en-GB"/>
                <w14:ligatures w14:val="none"/>
              </w:rPr>
              <w:t>The entry of the results reports in the sampling and/or measurement module will allow compliance with the reporting obligations established by the environmental instrument that regulates the establishment, thus avoiding double reporting.</w:t>
            </w:r>
            <w:r w:rsidR="00EC652A">
              <w:rPr>
                <w:rFonts w:ascii="Calibri" w:eastAsia="Times New Roman" w:hAnsi="Calibri" w:cs="Calibri"/>
                <w:kern w:val="0"/>
                <w:lang w:eastAsia="en-GB"/>
                <w14:ligatures w14:val="none"/>
              </w:rPr>
              <w:t xml:space="preserve"> Article 1, number 5.2 of the </w:t>
            </w:r>
            <w:r w:rsidR="00EC652A" w:rsidRPr="00D32225">
              <w:t>Exempt Resolution No. 585/2023 of the Superintendency of the Environment</w:t>
            </w:r>
            <w:r w:rsidR="00EC652A">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BFB31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2AD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E4C73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2AD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3184BA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82AD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F7A18C8" w:rsidR="000A6F11" w:rsidRPr="00CF2E7C" w:rsidRDefault="008D25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43B86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2AA574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87497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04433E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1BDCE4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22C3A7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46FDB22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0DA7E4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CEFF8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6120">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3D317F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42A09">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2ADCD3CB" w:rsidR="00047A9C" w:rsidRPr="00CF2E7C" w:rsidRDefault="00042A09" w:rsidP="00CF2E7C">
            <w:pPr>
              <w:textAlignment w:val="baseline"/>
              <w:rPr>
                <w:rFonts w:ascii="Calibri" w:eastAsia="Times New Roman" w:hAnsi="Calibri" w:cs="Calibri"/>
                <w:kern w:val="0"/>
                <w:lang w:eastAsia="en-GB"/>
                <w14:ligatures w14:val="none"/>
              </w:rPr>
            </w:pPr>
            <w:r w:rsidRPr="00D2272E">
              <w:rPr>
                <w:rFonts w:ascii="Calibri" w:eastAsia="Times New Roman" w:hAnsi="Calibri" w:cs="Calibri"/>
                <w:kern w:val="0"/>
                <w:lang w:eastAsia="en-GB"/>
                <w14:ligatures w14:val="none"/>
              </w:rPr>
              <w:t>The policy tool sets mandatory requirements regarding third-party certification of carbon credits, which are detailed in Decree No. 4</w:t>
            </w:r>
            <w:r>
              <w:rPr>
                <w:rFonts w:ascii="Calibri" w:eastAsia="Times New Roman" w:hAnsi="Calibri" w:cs="Calibri"/>
                <w:kern w:val="0"/>
                <w:lang w:eastAsia="en-GB"/>
                <w14:ligatures w14:val="none"/>
              </w:rPr>
              <w:t xml:space="preserve"> of </w:t>
            </w:r>
            <w:r w:rsidRPr="00D2272E">
              <w:rPr>
                <w:rFonts w:ascii="Calibri" w:eastAsia="Times New Roman" w:hAnsi="Calibri" w:cs="Calibri"/>
                <w:kern w:val="0"/>
                <w:lang w:eastAsia="en-GB"/>
                <w14:ligatures w14:val="none"/>
              </w:rPr>
              <w:t xml:space="preserve">2023, under Title V and Title VIII. These provisions </w:t>
            </w:r>
            <w:r w:rsidRPr="00D2272E">
              <w:rPr>
                <w:rFonts w:ascii="Calibri" w:eastAsia="Times New Roman" w:hAnsi="Calibri" w:cs="Calibri"/>
                <w:kern w:val="0"/>
                <w:lang w:eastAsia="en-GB"/>
                <w14:ligatures w14:val="none"/>
              </w:rPr>
              <w:lastRenderedPageBreak/>
              <w:t>establish who may act as certifiers, how they must be qualified, and how conflicts of interest are prevented.</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D52752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4D6F">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F64181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4D6F">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DFC8D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4D6F">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CD630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F4D6F">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650100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F4D6F">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2F1384C9" w:rsidR="00047A9C" w:rsidRPr="0039220E" w:rsidRDefault="00047A9C"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39220E" w:rsidRPr="006A20EB">
              <w:rPr>
                <w:rFonts w:ascii="Calibri" w:eastAsia="Times New Roman" w:hAnsi="Calibri" w:cs="Calibri"/>
                <w:kern w:val="0"/>
                <w:lang w:val="en-US" w:eastAsia="en-GB"/>
                <w14:ligatures w14:val="none"/>
              </w:rPr>
              <w:t>The principle of additionality is a required criterion for all emission reductions used to compensate the Green Tax under Article 8 of Law No. 20.780, as implemented by Decree No. 4/2023.</w:t>
            </w:r>
            <w:r w:rsidR="0039220E">
              <w:rPr>
                <w:rFonts w:ascii="Calibri" w:eastAsia="Times New Roman" w:hAnsi="Calibri" w:cs="Calibri"/>
                <w:kern w:val="0"/>
                <w:lang w:val="en-US" w:eastAsia="en-GB"/>
                <w14:ligatures w14:val="none"/>
              </w:rPr>
              <w:t xml:space="preserve"> See, also, Article 4 of the Decree.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498C4C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C444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3C117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C444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419D253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C444C">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4729301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6E91" w:rsidRPr="00E6410C">
              <w:rPr>
                <w:rFonts w:ascii="Calibri" w:eastAsia="Times New Roman" w:hAnsi="Calibri" w:cs="Calibri"/>
                <w:kern w:val="0"/>
                <w:lang w:eastAsia="en-GB"/>
                <w14:ligatures w14:val="none"/>
              </w:rPr>
              <w:t>The principle of permanence is explicitly required in the policy tool but without specifying a minimum number of years for which emissions reductions or removals must remain sequestered.</w:t>
            </w:r>
            <w:r w:rsidR="00C66E91">
              <w:rPr>
                <w:rFonts w:ascii="Calibri" w:eastAsia="Times New Roman" w:hAnsi="Calibri" w:cs="Calibri"/>
                <w:kern w:val="0"/>
                <w:lang w:eastAsia="en-GB"/>
                <w14:ligatures w14:val="none"/>
              </w:rPr>
              <w:t xml:space="preserve"> See Article 4 of the Decree.</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350063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74E1">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00C2BA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74E1">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DF26E5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74E1">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87F1E6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74E1">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FBEFEE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174E1">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B5A015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6E09" w:rsidRPr="00E865CE">
              <w:rPr>
                <w:rFonts w:ascii="Calibri" w:eastAsia="Times New Roman" w:hAnsi="Calibri" w:cs="Calibri"/>
                <w:kern w:val="0"/>
                <w:lang w:eastAsia="en-GB"/>
                <w14:ligatures w14:val="none"/>
              </w:rPr>
              <w:t xml:space="preserve">The policy tool does not include any remedial measures to address the reversal of carbon credits, nor does it define or reference the concept of </w:t>
            </w:r>
            <w:r w:rsidR="00CF6E09">
              <w:rPr>
                <w:rFonts w:ascii="Calibri" w:eastAsia="Times New Roman" w:hAnsi="Calibri" w:cs="Calibri"/>
                <w:kern w:val="0"/>
                <w:lang w:eastAsia="en-GB"/>
                <w14:ligatures w14:val="none"/>
              </w:rPr>
              <w:t>“</w:t>
            </w:r>
            <w:r w:rsidR="00CF6E09" w:rsidRPr="00E865CE">
              <w:rPr>
                <w:rFonts w:ascii="Calibri" w:eastAsia="Times New Roman" w:hAnsi="Calibri" w:cs="Calibri"/>
                <w:kern w:val="0"/>
                <w:lang w:eastAsia="en-GB"/>
                <w14:ligatures w14:val="none"/>
              </w:rPr>
              <w:t>reversal</w:t>
            </w:r>
            <w:r w:rsidR="00CF6E09">
              <w:rPr>
                <w:rFonts w:ascii="Calibri" w:eastAsia="Times New Roman" w:hAnsi="Calibri" w:cs="Calibri"/>
                <w:kern w:val="0"/>
                <w:lang w:eastAsia="en-GB"/>
                <w14:ligatures w14:val="none"/>
              </w:rPr>
              <w:t>”</w:t>
            </w:r>
            <w:r w:rsidR="00CF6E09" w:rsidRPr="00E865CE">
              <w:rPr>
                <w:rFonts w:ascii="Calibri" w:eastAsia="Times New Roman" w:hAnsi="Calibri" w:cs="Calibri"/>
                <w:kern w:val="0"/>
                <w:lang w:eastAsia="en-GB"/>
                <w14:ligatures w14:val="none"/>
              </w:rPr>
              <w:t xml:space="preserve"> at all.</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3180F413" w:rsidR="00DD694D" w:rsidRPr="00CF2E7C" w:rsidRDefault="00840A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1CE82AD" w14:textId="77777777" w:rsidR="00DF5312" w:rsidRPr="004C4193" w:rsidRDefault="00DF5312" w:rsidP="00DF5312">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The policy tool sets provisions for the quantification of emissions reductions or removals in Decree No. 4</w:t>
            </w:r>
            <w:r>
              <w:rPr>
                <w:rFonts w:ascii="Calibri" w:eastAsia="Times New Roman" w:hAnsi="Calibri" w:cs="Calibri"/>
                <w:kern w:val="0"/>
                <w:lang w:val="en-US" w:eastAsia="en-GB"/>
                <w14:ligatures w14:val="none"/>
              </w:rPr>
              <w:t xml:space="preserve"> of </w:t>
            </w:r>
            <w:r w:rsidRPr="004C4193">
              <w:rPr>
                <w:rFonts w:ascii="Calibri" w:eastAsia="Times New Roman" w:hAnsi="Calibri" w:cs="Calibri"/>
                <w:kern w:val="0"/>
                <w:lang w:val="en-US" w:eastAsia="en-GB"/>
                <w14:ligatures w14:val="none"/>
              </w:rPr>
              <w:t>2023.</w:t>
            </w:r>
          </w:p>
          <w:p w14:paraId="2A77F2D4" w14:textId="77777777" w:rsidR="00DF5312" w:rsidRPr="004C4193" w:rsidRDefault="00DF5312" w:rsidP="00DF5312">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In Article 2(i), “</w:t>
            </w:r>
            <w:proofErr w:type="spellStart"/>
            <w:r w:rsidRPr="004C4193">
              <w:rPr>
                <w:rFonts w:ascii="Calibri" w:eastAsia="Times New Roman" w:hAnsi="Calibri" w:cs="Calibri"/>
                <w:kern w:val="0"/>
                <w:lang w:val="en-US" w:eastAsia="en-GB"/>
                <w14:ligatures w14:val="none"/>
              </w:rPr>
              <w:t>metodología</w:t>
            </w:r>
            <w:proofErr w:type="spellEnd"/>
            <w:r w:rsidRPr="004C4193">
              <w:rPr>
                <w:rFonts w:ascii="Calibri" w:eastAsia="Times New Roman" w:hAnsi="Calibri" w:cs="Calibri"/>
                <w:kern w:val="0"/>
                <w:lang w:val="en-US" w:eastAsia="en-GB"/>
                <w14:ligatures w14:val="none"/>
              </w:rPr>
              <w:t>” is defined as the set of criteria, procedures, protocols, and content used to validate that a project meets the characteristics of a reduction or removal project and allows its quantification in a standardized manner. Article 2(p) further defines “</w:t>
            </w:r>
            <w:proofErr w:type="spellStart"/>
            <w:r w:rsidRPr="004C4193">
              <w:rPr>
                <w:rFonts w:ascii="Calibri" w:eastAsia="Times New Roman" w:hAnsi="Calibri" w:cs="Calibri"/>
                <w:kern w:val="0"/>
                <w:lang w:val="en-US" w:eastAsia="en-GB"/>
                <w14:ligatures w14:val="none"/>
              </w:rPr>
              <w:t>reducción</w:t>
            </w:r>
            <w:proofErr w:type="spellEnd"/>
            <w:r w:rsidRPr="004C4193">
              <w:rPr>
                <w:rFonts w:ascii="Calibri" w:eastAsia="Times New Roman" w:hAnsi="Calibri" w:cs="Calibri"/>
                <w:kern w:val="0"/>
                <w:lang w:val="en-US" w:eastAsia="en-GB"/>
                <w14:ligatures w14:val="none"/>
              </w:rPr>
              <w:t xml:space="preserve"> de </w:t>
            </w:r>
            <w:proofErr w:type="spellStart"/>
            <w:r w:rsidRPr="004C4193">
              <w:rPr>
                <w:rFonts w:ascii="Calibri" w:eastAsia="Times New Roman" w:hAnsi="Calibri" w:cs="Calibri"/>
                <w:kern w:val="0"/>
                <w:lang w:val="en-US" w:eastAsia="en-GB"/>
                <w14:ligatures w14:val="none"/>
              </w:rPr>
              <w:t>emisiones</w:t>
            </w:r>
            <w:proofErr w:type="spellEnd"/>
            <w:r w:rsidRPr="004C4193">
              <w:rPr>
                <w:rFonts w:ascii="Calibri" w:eastAsia="Times New Roman" w:hAnsi="Calibri" w:cs="Calibri"/>
                <w:kern w:val="0"/>
                <w:lang w:val="en-US" w:eastAsia="en-GB"/>
                <w14:ligatures w14:val="none"/>
              </w:rPr>
              <w:t>” as the decrease in emissions compared to a previously established reference level or baseline. Article 2(j) defines “</w:t>
            </w:r>
            <w:proofErr w:type="spellStart"/>
            <w:r w:rsidRPr="004C4193">
              <w:rPr>
                <w:rFonts w:ascii="Calibri" w:eastAsia="Times New Roman" w:hAnsi="Calibri" w:cs="Calibri"/>
                <w:kern w:val="0"/>
                <w:lang w:val="en-US" w:eastAsia="en-GB"/>
                <w14:ligatures w14:val="none"/>
              </w:rPr>
              <w:t>medible</w:t>
            </w:r>
            <w:proofErr w:type="spellEnd"/>
            <w:r w:rsidRPr="004C4193">
              <w:rPr>
                <w:rFonts w:ascii="Calibri" w:eastAsia="Times New Roman" w:hAnsi="Calibri" w:cs="Calibri"/>
                <w:kern w:val="0"/>
                <w:lang w:val="en-US" w:eastAsia="en-GB"/>
                <w14:ligatures w14:val="none"/>
              </w:rPr>
              <w:t>” as the attribute that allows emission reductions to be quantifiable through methodologies.</w:t>
            </w:r>
          </w:p>
          <w:p w14:paraId="56AB6989" w14:textId="77777777" w:rsidR="00DF5312" w:rsidRPr="004C4193" w:rsidRDefault="00DF5312" w:rsidP="00DF5312">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Article 8 requires the Ministry of the Environment to maintain a public list of methodologies for quantifying baseline emissions and calculating reductions. This includes methodologies developed and validated by the Ministry or proposed by third parties and approved. These methodologies must support standardized estimation and verification procedures.</w:t>
            </w:r>
          </w:p>
          <w:p w14:paraId="08FC814B" w14:textId="77777777" w:rsidR="00DF5312" w:rsidRPr="004C4193" w:rsidRDefault="00DF5312" w:rsidP="00DF5312">
            <w:pPr>
              <w:textAlignment w:val="baseline"/>
              <w:rPr>
                <w:rFonts w:ascii="Calibri" w:eastAsia="Times New Roman" w:hAnsi="Calibri" w:cs="Calibri"/>
                <w:kern w:val="0"/>
                <w:lang w:val="en-US" w:eastAsia="en-GB"/>
                <w14:ligatures w14:val="none"/>
              </w:rPr>
            </w:pPr>
            <w:r w:rsidRPr="004C4193">
              <w:rPr>
                <w:rFonts w:ascii="Calibri" w:eastAsia="Times New Roman" w:hAnsi="Calibri" w:cs="Calibri"/>
                <w:kern w:val="0"/>
                <w:lang w:val="en-US" w:eastAsia="en-GB"/>
                <w14:ligatures w14:val="none"/>
              </w:rPr>
              <w:t>Article 10 states that methodologies must account for legal obligations applicable to the project and clearly indicate the precedence of different quantification mechanisms when relevant. In the case of MP, NOx, or SO₂, Article 10 requires that the methodology include a technical justification for its applicability, supported by references or bibliographic sources.</w:t>
            </w:r>
          </w:p>
          <w:p w14:paraId="4073F913" w14:textId="59F8C986" w:rsidR="00DD694D" w:rsidRPr="00CF2E7C" w:rsidRDefault="00DF5312" w:rsidP="00DF5312">
            <w:pPr>
              <w:textAlignment w:val="baseline"/>
              <w:rPr>
                <w:rFonts w:ascii="Calibri" w:eastAsia="Times New Roman" w:hAnsi="Calibri" w:cs="Calibri"/>
                <w:kern w:val="0"/>
                <w:lang w:eastAsia="en-GB"/>
                <w14:ligatures w14:val="none"/>
              </w:rPr>
            </w:pPr>
            <w:r w:rsidRPr="004C4193">
              <w:rPr>
                <w:rFonts w:ascii="Calibri" w:eastAsia="Times New Roman" w:hAnsi="Calibri" w:cs="Calibri"/>
                <w:kern w:val="0"/>
                <w:lang w:val="en-US" w:eastAsia="en-GB"/>
                <w14:ligatures w14:val="none"/>
              </w:rPr>
              <w:t>Under Article 15, project proponents are required to submit, as part of their project documentation, a detailed baseline of emissions considering both historical and projected emissions without the project. They must also calculate the projected emissions reductions by pollutant and by year and present the quantified difference between the baseline and expected post-project emissions.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867E37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17F0A">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348DF34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17F0A">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44BA69E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17F0A">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3E7D492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17F0A">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676BA07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17F0A">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26F83D37" w:rsidR="00DD694D" w:rsidRPr="00CF2E7C" w:rsidRDefault="00117F0A" w:rsidP="00CF2E7C">
            <w:pPr>
              <w:textAlignment w:val="baseline"/>
              <w:rPr>
                <w:rFonts w:ascii="Calibri" w:eastAsia="Times New Roman" w:hAnsi="Calibri" w:cs="Calibri"/>
                <w:kern w:val="0"/>
                <w:lang w:eastAsia="en-GB"/>
                <w14:ligatures w14:val="none"/>
              </w:rPr>
            </w:pPr>
            <w:r w:rsidRPr="00E24A53">
              <w:rPr>
                <w:rFonts w:ascii="Calibri" w:eastAsia="Times New Roman" w:hAnsi="Calibri" w:cs="Calibri"/>
                <w:kern w:val="0"/>
                <w:lang w:eastAsia="en-GB"/>
                <w14:ligatures w14:val="none"/>
              </w:rPr>
              <w:t>The policy too</w:t>
            </w:r>
            <w:r>
              <w:rPr>
                <w:rFonts w:ascii="Calibri" w:eastAsia="Times New Roman" w:hAnsi="Calibri" w:cs="Calibri"/>
                <w:kern w:val="0"/>
                <w:lang w:eastAsia="en-GB"/>
                <w14:ligatures w14:val="none"/>
              </w:rPr>
              <w:t>l</w:t>
            </w:r>
            <w:r w:rsidRPr="00E24A53">
              <w:rPr>
                <w:rFonts w:ascii="Calibri" w:eastAsia="Times New Roman" w:hAnsi="Calibri" w:cs="Calibri"/>
                <w:kern w:val="0"/>
                <w:lang w:eastAsia="en-GB"/>
                <w14:ligatures w14:val="none"/>
              </w:rPr>
              <w:t xml:space="preserve"> does not include any provisions that address or safeguard the social integrity of carbon credit-generating projects.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09CB0517" w:rsidR="00B87C89" w:rsidRPr="00CF2E7C" w:rsidRDefault="008434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35970EE7" w:rsidR="00B87C89" w:rsidRPr="00CF2E7C" w:rsidRDefault="000E6954" w:rsidP="00CF2E7C">
            <w:pPr>
              <w:textAlignment w:val="baseline"/>
              <w:rPr>
                <w:rFonts w:ascii="Calibri" w:eastAsia="Times New Roman" w:hAnsi="Calibri" w:cs="Calibri"/>
                <w:kern w:val="0"/>
                <w:lang w:eastAsia="en-GB"/>
                <w14:ligatures w14:val="none"/>
              </w:rPr>
            </w:pPr>
            <w:r w:rsidRPr="00E33D8E">
              <w:rPr>
                <w:rFonts w:ascii="Calibri" w:eastAsia="Times New Roman" w:hAnsi="Calibri" w:cs="Calibri"/>
                <w:kern w:val="0"/>
                <w:lang w:val="en-US" w:eastAsia="en-GB"/>
                <w14:ligatures w14:val="none"/>
              </w:rPr>
              <w:t>No specific proportion is set. Taxpayers subject to the tax may offset all or part of their taxable emissions by means of emission reduction certificates for the purpose of determining the amount of tax payable</w:t>
            </w:r>
            <w:r w:rsidR="00A95139">
              <w:rPr>
                <w:rFonts w:ascii="Calibri" w:eastAsia="Times New Roman" w:hAnsi="Calibri" w:cs="Calibri"/>
                <w:kern w:val="0"/>
                <w:lang w:val="en-US" w:eastAsia="en-GB"/>
                <w14:ligatures w14:val="none"/>
              </w:rPr>
              <w:t>.</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435BAA6F" w:rsidR="002119B6" w:rsidRPr="00CF2E7C" w:rsidRDefault="00A9513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1F8AF91C" w:rsidR="002119B6" w:rsidRPr="00CF2E7C" w:rsidRDefault="00766C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0DB09FA" w14:textId="77777777" w:rsidR="00590E18" w:rsidRPr="00DC257D" w:rsidRDefault="00590E18" w:rsidP="00590E18">
            <w:pPr>
              <w:textAlignment w:val="baseline"/>
              <w:rPr>
                <w:rFonts w:ascii="Calibri" w:eastAsia="Times New Roman" w:hAnsi="Calibri" w:cs="Calibri"/>
                <w:kern w:val="0"/>
                <w:lang w:val="en-US" w:eastAsia="en-GB"/>
                <w14:ligatures w14:val="none"/>
              </w:rPr>
            </w:pPr>
            <w:r w:rsidRPr="00DC257D">
              <w:rPr>
                <w:rFonts w:ascii="Calibri" w:eastAsia="Times New Roman" w:hAnsi="Calibri" w:cs="Calibri"/>
                <w:kern w:val="0"/>
                <w:lang w:val="en-US" w:eastAsia="en-GB"/>
                <w14:ligatures w14:val="none"/>
              </w:rPr>
              <w:t>Carbon credits permitted for use in Chile’s Green Tax compliance system must meet a defined set of eligibility criteria established in Decree No. 4</w:t>
            </w:r>
            <w:r>
              <w:rPr>
                <w:rFonts w:ascii="Calibri" w:eastAsia="Times New Roman" w:hAnsi="Calibri" w:cs="Calibri"/>
                <w:kern w:val="0"/>
                <w:lang w:val="en-US" w:eastAsia="en-GB"/>
                <w14:ligatures w14:val="none"/>
              </w:rPr>
              <w:t xml:space="preserve"> of </w:t>
            </w:r>
            <w:r w:rsidRPr="00DC257D">
              <w:rPr>
                <w:rFonts w:ascii="Calibri" w:eastAsia="Times New Roman" w:hAnsi="Calibri" w:cs="Calibri"/>
                <w:kern w:val="0"/>
                <w:lang w:val="en-US" w:eastAsia="en-GB"/>
                <w14:ligatures w14:val="none"/>
              </w:rPr>
              <w:t>2023. Article 6 requires that all credits come from emission reduction projects executed within the national territory. The same article specifies that emissions may only be compensated using reductions of the same contaminant (CO₂, MP, NOₓ, or SO₂) as the one being offset. Additionally, emission reductions must have occurred within three years prior to the year in which the corresponding taxable emissions were generated.</w:t>
            </w:r>
          </w:p>
          <w:p w14:paraId="153D276A" w14:textId="5E1A8AF1" w:rsidR="002119B6" w:rsidRPr="00CF2E7C" w:rsidRDefault="00590E18" w:rsidP="00590E18">
            <w:pPr>
              <w:textAlignment w:val="baseline"/>
              <w:rPr>
                <w:rFonts w:ascii="Calibri" w:eastAsia="Times New Roman" w:hAnsi="Calibri" w:cs="Calibri"/>
                <w:kern w:val="0"/>
                <w:lang w:eastAsia="en-GB"/>
                <w14:ligatures w14:val="none"/>
              </w:rPr>
            </w:pPr>
            <w:r w:rsidRPr="00DC257D">
              <w:rPr>
                <w:rFonts w:ascii="Calibri" w:eastAsia="Times New Roman" w:hAnsi="Calibri" w:cs="Calibri"/>
                <w:kern w:val="0"/>
                <w:lang w:val="en-US" w:eastAsia="en-GB"/>
                <w14:ligatures w14:val="none"/>
              </w:rPr>
              <w:t xml:space="preserve">Article 4 sets out four essential attributes that all credits must fulfill: they must be additional, measurable, verifiable, and permanent. These criteria ensure the environmental integrity of the reductions. Articles 25 to 27 require that reductions be verified by an external auditor authorized by the </w:t>
            </w:r>
            <w:r>
              <w:rPr>
                <w:rFonts w:ascii="Calibri" w:eastAsia="Times New Roman" w:hAnsi="Calibri" w:cs="Calibri"/>
                <w:kern w:val="0"/>
                <w:lang w:val="en-US" w:eastAsia="en-GB"/>
                <w14:ligatures w14:val="none"/>
              </w:rPr>
              <w:t>SMA</w:t>
            </w:r>
            <w:r w:rsidRPr="00DC257D">
              <w:rPr>
                <w:rFonts w:ascii="Calibri" w:eastAsia="Times New Roman" w:hAnsi="Calibri" w:cs="Calibri"/>
                <w:kern w:val="0"/>
                <w:lang w:val="en-US" w:eastAsia="en-GB"/>
                <w14:ligatures w14:val="none"/>
              </w:rPr>
              <w:t xml:space="preserve">, and Article 27 further mandates that these verified reductions be validated, registered, and cancelled in the national emissions reduction registry (Article 32). For local pollutants (MP, NOₓ, SO₂), Article 6 also imposes a geographic constraint: projects must be in the same or an adjacent </w:t>
            </w:r>
            <w:proofErr w:type="spellStart"/>
            <w:r w:rsidRPr="00DC257D">
              <w:rPr>
                <w:rFonts w:ascii="Calibri" w:eastAsia="Times New Roman" w:hAnsi="Calibri" w:cs="Calibri"/>
                <w:i/>
                <w:iCs/>
                <w:kern w:val="0"/>
                <w:lang w:val="en-US" w:eastAsia="en-GB"/>
                <w14:ligatures w14:val="none"/>
              </w:rPr>
              <w:t>comuna</w:t>
            </w:r>
            <w:proofErr w:type="spellEnd"/>
            <w:r w:rsidRPr="00DC257D">
              <w:rPr>
                <w:rFonts w:ascii="Calibri" w:eastAsia="Times New Roman" w:hAnsi="Calibri" w:cs="Calibri"/>
                <w:kern w:val="0"/>
                <w:lang w:val="en-US" w:eastAsia="en-GB"/>
                <w14:ligatures w14:val="none"/>
              </w:rPr>
              <w:t xml:space="preserve">, and if the emissions originate in a </w:t>
            </w:r>
            <w:r w:rsidRPr="00DC257D">
              <w:rPr>
                <w:rFonts w:ascii="Calibri" w:eastAsia="Times New Roman" w:hAnsi="Calibri" w:cs="Calibri"/>
                <w:i/>
                <w:iCs/>
                <w:kern w:val="0"/>
                <w:lang w:val="en-US" w:eastAsia="en-GB"/>
                <w14:ligatures w14:val="none"/>
              </w:rPr>
              <w:t xml:space="preserve">zona </w:t>
            </w:r>
            <w:proofErr w:type="spellStart"/>
            <w:r w:rsidRPr="00DC257D">
              <w:rPr>
                <w:rFonts w:ascii="Calibri" w:eastAsia="Times New Roman" w:hAnsi="Calibri" w:cs="Calibri"/>
                <w:i/>
                <w:iCs/>
                <w:kern w:val="0"/>
                <w:lang w:val="en-US" w:eastAsia="en-GB"/>
                <w14:ligatures w14:val="none"/>
              </w:rPr>
              <w:t>saturada</w:t>
            </w:r>
            <w:proofErr w:type="spellEnd"/>
            <w:r w:rsidRPr="00DC257D">
              <w:rPr>
                <w:rFonts w:ascii="Calibri" w:eastAsia="Times New Roman" w:hAnsi="Calibri" w:cs="Calibri"/>
                <w:i/>
                <w:iCs/>
                <w:kern w:val="0"/>
                <w:lang w:val="en-US" w:eastAsia="en-GB"/>
                <w14:ligatures w14:val="none"/>
              </w:rPr>
              <w:t xml:space="preserve"> </w:t>
            </w:r>
            <w:r w:rsidRPr="00DC257D">
              <w:rPr>
                <w:rFonts w:ascii="Calibri" w:eastAsia="Times New Roman" w:hAnsi="Calibri" w:cs="Calibri"/>
                <w:kern w:val="0"/>
                <w:lang w:val="en-US" w:eastAsia="en-GB"/>
                <w14:ligatures w14:val="none"/>
              </w:rPr>
              <w:t xml:space="preserve">o </w:t>
            </w:r>
            <w:proofErr w:type="spellStart"/>
            <w:r w:rsidRPr="00DC257D">
              <w:rPr>
                <w:rFonts w:ascii="Calibri" w:eastAsia="Times New Roman" w:hAnsi="Calibri" w:cs="Calibri"/>
                <w:i/>
                <w:iCs/>
                <w:kern w:val="0"/>
                <w:lang w:val="en-US" w:eastAsia="en-GB"/>
                <w14:ligatures w14:val="none"/>
              </w:rPr>
              <w:t>latente</w:t>
            </w:r>
            <w:proofErr w:type="spellEnd"/>
            <w:r w:rsidRPr="00DC257D">
              <w:rPr>
                <w:rFonts w:ascii="Calibri" w:eastAsia="Times New Roman" w:hAnsi="Calibri" w:cs="Calibri"/>
                <w:kern w:val="0"/>
                <w:lang w:val="en-US" w:eastAsia="en-GB"/>
                <w14:ligatures w14:val="none"/>
              </w:rPr>
              <w:t>, the project must be within that same zone.</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2EA63373" w:rsidR="00FE7FA5" w:rsidRPr="00CF2E7C" w:rsidRDefault="00A9513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F7DECF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CF87CE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3DB593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0FB7E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B2C4DC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0DB1369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287400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9AF2C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50451ED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06BCBC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11A1F6C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D841E4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2089A32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F795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BB4980" w:rsidRDefault="00DD292A" w:rsidP="00CF2E7C">
            <w:pPr>
              <w:rPr>
                <w:rFonts w:ascii="Calibri" w:hAnsi="Calibri" w:cs="Calibri"/>
                <w:lang w:val="fr-FR"/>
              </w:rPr>
            </w:pPr>
            <w:r w:rsidRPr="00BB4980">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BB4980" w:rsidRDefault="00DD292A" w:rsidP="00CF2E7C">
            <w:pPr>
              <w:rPr>
                <w:rFonts w:ascii="Calibri" w:hAnsi="Calibri" w:cs="Calibri"/>
                <w:lang w:val="fr-FR"/>
              </w:rPr>
            </w:pPr>
          </w:p>
        </w:tc>
      </w:tr>
      <w:tr w:rsidR="00DD292A" w:rsidRPr="00BF795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F795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B4980" w:rsidRDefault="002F0752" w:rsidP="00CF2E7C">
            <w:pPr>
              <w:rPr>
                <w:rFonts w:ascii="Calibri" w:hAnsi="Calibri" w:cs="Calibri"/>
                <w:lang w:val="fr-FR"/>
              </w:rPr>
            </w:pPr>
            <w:r w:rsidRPr="00BB4980">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BB4980" w:rsidRDefault="002F0752" w:rsidP="00CF2E7C">
            <w:pPr>
              <w:rPr>
                <w:rFonts w:ascii="Calibri" w:hAnsi="Calibri" w:cs="Calibri"/>
                <w:lang w:val="fr-FR"/>
              </w:rPr>
            </w:pPr>
          </w:p>
        </w:tc>
      </w:tr>
      <w:tr w:rsidR="002F0752" w:rsidRPr="00BF795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A136C5" w14:textId="77777777" w:rsidR="009653F0" w:rsidRDefault="009653F0" w:rsidP="00874E39">
      <w:r>
        <w:separator/>
      </w:r>
    </w:p>
  </w:endnote>
  <w:endnote w:type="continuationSeparator" w:id="0">
    <w:p w14:paraId="740022ED" w14:textId="77777777" w:rsidR="009653F0" w:rsidRDefault="009653F0" w:rsidP="00874E39">
      <w:r>
        <w:continuationSeparator/>
      </w:r>
    </w:p>
  </w:endnote>
  <w:endnote w:type="continuationNotice" w:id="1">
    <w:p w14:paraId="3B87B615" w14:textId="77777777" w:rsidR="009653F0" w:rsidRDefault="009653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20DCE2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5DCB98" w14:textId="77777777" w:rsidR="009653F0" w:rsidRDefault="009653F0" w:rsidP="00874E39">
      <w:r>
        <w:separator/>
      </w:r>
    </w:p>
  </w:footnote>
  <w:footnote w:type="continuationSeparator" w:id="0">
    <w:p w14:paraId="46888AA3" w14:textId="77777777" w:rsidR="009653F0" w:rsidRDefault="009653F0" w:rsidP="00874E39">
      <w:r>
        <w:continuationSeparator/>
      </w:r>
    </w:p>
  </w:footnote>
  <w:footnote w:type="continuationNotice" w:id="1">
    <w:p w14:paraId="27C69267" w14:textId="77777777" w:rsidR="009653F0" w:rsidRDefault="009653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A65"/>
    <w:rsid w:val="00027BB2"/>
    <w:rsid w:val="00027D03"/>
    <w:rsid w:val="00030837"/>
    <w:rsid w:val="00030C1E"/>
    <w:rsid w:val="000334B6"/>
    <w:rsid w:val="0003453A"/>
    <w:rsid w:val="00034EDB"/>
    <w:rsid w:val="00035464"/>
    <w:rsid w:val="000372C9"/>
    <w:rsid w:val="000403CE"/>
    <w:rsid w:val="00040F2E"/>
    <w:rsid w:val="00040F48"/>
    <w:rsid w:val="00041BB2"/>
    <w:rsid w:val="00042406"/>
    <w:rsid w:val="00042518"/>
    <w:rsid w:val="000428FA"/>
    <w:rsid w:val="00042A09"/>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78C"/>
    <w:rsid w:val="00071C1F"/>
    <w:rsid w:val="0007502A"/>
    <w:rsid w:val="00075B10"/>
    <w:rsid w:val="000779A3"/>
    <w:rsid w:val="0008098E"/>
    <w:rsid w:val="00080D39"/>
    <w:rsid w:val="00081CC6"/>
    <w:rsid w:val="00082ADC"/>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DEE"/>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954"/>
    <w:rsid w:val="000E6A6A"/>
    <w:rsid w:val="000E7A8A"/>
    <w:rsid w:val="000F4459"/>
    <w:rsid w:val="000F5AE7"/>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F0A"/>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6F12"/>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1FD"/>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25D"/>
    <w:rsid w:val="00272D9A"/>
    <w:rsid w:val="002737EF"/>
    <w:rsid w:val="00274335"/>
    <w:rsid w:val="00274864"/>
    <w:rsid w:val="00274B22"/>
    <w:rsid w:val="0027670A"/>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6AA"/>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0E"/>
    <w:rsid w:val="0039223F"/>
    <w:rsid w:val="00392F82"/>
    <w:rsid w:val="0039353D"/>
    <w:rsid w:val="003937AD"/>
    <w:rsid w:val="00393BA9"/>
    <w:rsid w:val="0039625A"/>
    <w:rsid w:val="00396C72"/>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D7"/>
    <w:rsid w:val="00432DF0"/>
    <w:rsid w:val="00432E52"/>
    <w:rsid w:val="00433033"/>
    <w:rsid w:val="004333DA"/>
    <w:rsid w:val="00433B13"/>
    <w:rsid w:val="00434724"/>
    <w:rsid w:val="00434B6A"/>
    <w:rsid w:val="00435E7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120"/>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4D6F"/>
    <w:rsid w:val="004F5354"/>
    <w:rsid w:val="00501CCF"/>
    <w:rsid w:val="00502833"/>
    <w:rsid w:val="00502C8A"/>
    <w:rsid w:val="00502F7A"/>
    <w:rsid w:val="00504B4A"/>
    <w:rsid w:val="00505115"/>
    <w:rsid w:val="00505812"/>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E1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6E9"/>
    <w:rsid w:val="0070013E"/>
    <w:rsid w:val="00702413"/>
    <w:rsid w:val="00702929"/>
    <w:rsid w:val="0070294B"/>
    <w:rsid w:val="00702E5A"/>
    <w:rsid w:val="00703034"/>
    <w:rsid w:val="007032D7"/>
    <w:rsid w:val="007055F4"/>
    <w:rsid w:val="00705948"/>
    <w:rsid w:val="0070594A"/>
    <w:rsid w:val="00705ADE"/>
    <w:rsid w:val="007066F4"/>
    <w:rsid w:val="00707D5E"/>
    <w:rsid w:val="00707F76"/>
    <w:rsid w:val="00711F61"/>
    <w:rsid w:val="007130D4"/>
    <w:rsid w:val="00714103"/>
    <w:rsid w:val="00714E43"/>
    <w:rsid w:val="007174E1"/>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C42"/>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34"/>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AEC"/>
    <w:rsid w:val="00840D64"/>
    <w:rsid w:val="0084197D"/>
    <w:rsid w:val="00842886"/>
    <w:rsid w:val="008432F5"/>
    <w:rsid w:val="00843442"/>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78B"/>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093"/>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538"/>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124"/>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3F0"/>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237"/>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B08"/>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F9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139"/>
    <w:rsid w:val="00A9656E"/>
    <w:rsid w:val="00AA186B"/>
    <w:rsid w:val="00AA2F4F"/>
    <w:rsid w:val="00AA38F6"/>
    <w:rsid w:val="00AA4965"/>
    <w:rsid w:val="00AA6DDB"/>
    <w:rsid w:val="00AB0830"/>
    <w:rsid w:val="00AB2CCC"/>
    <w:rsid w:val="00AB4F2C"/>
    <w:rsid w:val="00AB64F8"/>
    <w:rsid w:val="00AC444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45D6"/>
    <w:rsid w:val="00B65F11"/>
    <w:rsid w:val="00B673AC"/>
    <w:rsid w:val="00B6777F"/>
    <w:rsid w:val="00B720BA"/>
    <w:rsid w:val="00B733B0"/>
    <w:rsid w:val="00B745B3"/>
    <w:rsid w:val="00B7490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980"/>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986"/>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95E"/>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9C8"/>
    <w:rsid w:val="00C33102"/>
    <w:rsid w:val="00C3337E"/>
    <w:rsid w:val="00C3418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91"/>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316"/>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E09"/>
    <w:rsid w:val="00D004AD"/>
    <w:rsid w:val="00D01B92"/>
    <w:rsid w:val="00D01F55"/>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795"/>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312"/>
    <w:rsid w:val="00DF6212"/>
    <w:rsid w:val="00DF65E8"/>
    <w:rsid w:val="00DF6BF3"/>
    <w:rsid w:val="00DF6C42"/>
    <w:rsid w:val="00DF7242"/>
    <w:rsid w:val="00DF7DE6"/>
    <w:rsid w:val="00E007A3"/>
    <w:rsid w:val="00E020A8"/>
    <w:rsid w:val="00E02101"/>
    <w:rsid w:val="00E03122"/>
    <w:rsid w:val="00E03A10"/>
    <w:rsid w:val="00E03AC6"/>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82C"/>
    <w:rsid w:val="00E64AEA"/>
    <w:rsid w:val="00E65D70"/>
    <w:rsid w:val="00E6706E"/>
    <w:rsid w:val="00E67095"/>
    <w:rsid w:val="00E67A04"/>
    <w:rsid w:val="00E70A6A"/>
    <w:rsid w:val="00E71633"/>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57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52A"/>
    <w:rsid w:val="00EC675B"/>
    <w:rsid w:val="00EC6D13"/>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2AF9"/>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E30"/>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save/https://sisat.sma.gob.cl/compensacion/publico/registro"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94009/https://www.bcn.cl/leychile/navegar?idNorma=11912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113</Pages>
  <Words>23599</Words>
  <Characters>129797</Characters>
  <Application>Microsoft Office Word</Application>
  <DocSecurity>0</DocSecurity>
  <Lines>1081</Lines>
  <Paragraphs>306</Paragraphs>
  <ScaleCrop>false</ScaleCrop>
  <Company/>
  <LinksUpToDate>false</LinksUpToDate>
  <CharactersWithSpaces>153090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Joaquín Carbone </cp:lastModifiedBy>
  <cp:revision>61</cp:revision>
  <cp:lastPrinted>2025-03-21T00:14:00Z</cp:lastPrinted>
  <dcterms:created xsi:type="dcterms:W3CDTF">2025-05-30T20:41:00Z</dcterms:created>
  <dcterms:modified xsi:type="dcterms:W3CDTF">2025-07-01T21:06:00Z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